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8.png" ContentType="image/png"/>
  <Override PartName="/word/media/rId87.png" ContentType="image/png"/>
  <Override PartName="/word/media/rId84.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23</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depending on the proportion of diet consisting of fish versus invertebrates (Figure</w:t>
      </w:r>
      <w:r>
        <w:t xml:space="preserve"> </w:t>
      </w:r>
      <w:r>
        <w:t xml:space="preserve">5</w:t>
      </w:r>
      <w:r>
        <w:t xml:space="preserve">). Similarly, we estimated the average-size (393.7 mm) Northern Pikeminnow to consume 44.29 g (range 22.39 - 50.73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population size of 28,144 from fall estimates and an estimate of 14,897 for spring 2021, and assuming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p>
      <w:pPr>
        <w:pStyle w:val="FirstParagraph"/>
      </w:pPr>
      <w:r>
        <w:t xml:space="preserve">All estimators suggest a large number of Northern Pikeminnow occupying Deadwater Slough.</w:t>
      </w:r>
      <w:r>
        <w:t xml:space="preserve"> </w:t>
      </w:r>
    </w:p>
    <w:p>
      <w:pPr>
        <w:pStyle w:val="BodyText"/>
      </w:pPr>
      <w:r>
        <w:t xml:space="preserve">If the first mark-recapture assumption was violated and the population is actually open (potential immigration and emigration during the survey period), as long as the immigration and emigration rates are equal between marked and unmarked fsih, our estimators should still provide unbiased estimates of abundance. Given the size of the sampling area, and the length of the sampling period (two weeks).</w:t>
      </w:r>
    </w:p>
    <w:p>
      <w:pPr>
        <w:pStyle w:val="BodyText"/>
      </w:pPr>
      <w:r>
        <w:t xml:space="preserve">We are comfortable with assumptions 4 and 5 (no loss of marks and no mistaken or missed marks). Assumptions 2 and 3 indicate whether the second (and subsequent) surveys are random samples of the population. Angling methods may provide a size selection bias, but that may only affect the interpretation of the abundance estimates (i.e., our estimate are the abundance of Northern Pikeminnow above some size threshold). Unequal catchability between individual fish is very difficult to assess, especially if that heterogeneity arises from being caught once.</w:t>
      </w:r>
    </w:p>
    <w:p>
      <w:pPr>
        <w:pStyle w:val="BodyText"/>
      </w:pPr>
      <w:r>
        <w:t xml:space="preserve">The spring abundance estimate is smaller than either fall sampling event. However, our approach assumes equal capture probabilities betwee the fall and spring sampling events. If it does differ, we believe that the capture probability in the spring could be lower due to higher flows, which would lead to our spring abundance estimate being biased low. Therefore, we presume our abundance estimate of Northern Pikeminnow for the spring 2021 sampling event to be a conservative estimate.</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This translates to adult Chinook equivalents between 571 and 1,269 (Figure</w:t>
      </w:r>
      <w:r>
        <w:t xml:space="preserve"> </w:t>
      </w:r>
      <w:r>
        <w:t xml:space="preserve">6</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2"/>
    <w:bookmarkStart w:id="63"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DSR (fall) and NRR (spring) emigrants consumed for each season and diet scenario. The diet scenario indicates the proportion of the Northern Pikeminnow diet consisting of fish. The</w:t>
      </w:r>
      <w:r>
        <w:t xml:space="preserve"> </w:t>
      </w:r>
      <w:r>
        <w:t xml:space="preserve">‘</w:t>
      </w:r>
      <w:r>
        <w:t xml:space="preserve">Juv Chinook</w:t>
      </w:r>
      <w:r>
        <w:t xml:space="preserve">’</w:t>
      </w:r>
      <w:r>
        <w:t xml:space="preserve"> </w:t>
      </w:r>
      <w:r>
        <w:t xml:space="preserve">column indicates the number of juvenile Chinook consumed by an individual Northern Pikeminnow during the fall or spring seasons and is taken from each of the 18 bioenergetics model runs. The number of smolts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from McCann et al. 2019.</w:t>
      </w:r>
    </w:p>
    <w:tbl>
      <w:tblPr>
        <w:tblStyle w:val="Table"/>
        <w:tblW w:type="auto" w:w="0"/>
        <w:tblLook w:firstRow="1" w:lastRow="0" w:firstColumn="0" w:lastColumn="0" w:noHBand="0" w:noVBand="0" w:val="0020"/>
        <w:tblCaption w:val="Table 5: Estimates of the number of DSR (fall) and NRR (spring) emigrants consumed for each season and diet scenario. The diet scenario indicates the proportion of the Northern Pikeminnow diet consisting of fish. The ‘Juv Chinook’ column indicates the number of juvenile Chinook consumed by an individual Northern Pikeminnow during the fall or spring seasons and is taken from each of the 18 bioenergetics model runs. The number of smolts consumed (and 95% confidence intervals) are calculated using Northern Pikeminnow abundance estimates of 28,144 (95% CI: 14,378 - 59,978) for fall and 14,897 (95% CI: 7,610 - 31,747) for spring. The number of ‘adult equivalents’ is also estimated using a Lower Granite Dam smolt-to-adult rate (SAR)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Effort</w:t>
            </w:r>
          </w:p>
        </w:tc>
        <w:tc>
          <w:tcPr/>
          <w:p>
            <w:pPr>
              <w:pStyle w:val="Compact"/>
              <w:jc w:val="right"/>
            </w:pPr>
            <w:r>
              <w:t xml:space="preserve">p Fish</w:t>
            </w:r>
          </w:p>
        </w:tc>
        <w:tc>
          <w:tcPr/>
          <w:p>
            <w:pPr>
              <w:pStyle w:val="Compact"/>
              <w:jc w:val="right"/>
            </w:pPr>
            <w:r>
              <w:t xml:space="preserve">Juv Chinook</w:t>
            </w:r>
          </w:p>
        </w:tc>
        <w:tc>
          <w:tcPr/>
          <w:p>
            <w:pPr>
              <w:pStyle w:val="Compact"/>
              <w:jc w:val="right"/>
            </w:pPr>
            <w:r>
              <w:t xml:space="preserve">Juv N</w:t>
            </w:r>
          </w:p>
        </w:tc>
        <w:tc>
          <w:tcPr/>
          <w:p>
            <w:pPr>
              <w:pStyle w:val="Compact"/>
              <w:jc w:val="right"/>
            </w:pPr>
            <w:r>
              <w:t xml:space="preserve">Juv L CI</w:t>
            </w:r>
          </w:p>
        </w:tc>
        <w:tc>
          <w:tcPr/>
          <w:p>
            <w:pPr>
              <w:pStyle w:val="Compact"/>
              <w:jc w:val="right"/>
            </w:pPr>
            <w:r>
              <w:t xml:space="preserve">Juv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1"/>
    <w:bookmarkStart w:id="90" w:name="figures"/>
    <w:p>
      <w:pPr>
        <w:pStyle w:val="Heading1"/>
      </w:pPr>
      <w:r>
        <w:t xml:space="preserve">Figures</w:t>
      </w:r>
    </w:p>
    <w:bookmarkStart w:id="82" w:name="figures"/>
    <w:bookmarkEnd w:id="82"/>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89" w:name="colophon"/>
    <w:p>
      <w:pPr>
        <w:pStyle w:val="Heading3"/>
      </w:pPr>
      <w:r>
        <w:t xml:space="preserve">Colophon</w:t>
      </w:r>
    </w:p>
    <w:p>
      <w:pPr>
        <w:pStyle w:val="FirstParagraph"/>
      </w:pPr>
      <w:r>
        <w:t xml:space="preserve">This report was generated on 2021-12-23 13:27:34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[75fa9e2] 2021-12-23: cleaned out old drafts</w:t>
      </w:r>
    </w:p>
    <w:bookmarkEnd w:id="89"/>
    <w:bookmarkEnd w:id="9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2021-12-23T20:27:37Z</dcterms:created>
  <dcterms:modified xsi:type="dcterms:W3CDTF">2021-12-23T20:27:37Z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